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77CFA" w:rsidP="00C36BC7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DILIGENCIA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C36BC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CORRECCIÓN DE ERRORES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77CFA" w:rsidP="00C36BC7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DILIGENCIA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C36BC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CORRECCIÓN DE ERRORES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075" w:rsidRDefault="00C36BC7" w:rsidP="005529B8">
      <w:pPr>
        <w:spacing w:before="60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Para</w:t>
      </w:r>
      <w:r w:rsidR="00CB3075" w:rsidRPr="00CB3075">
        <w:rPr>
          <w:rFonts w:ascii="Palatino Linotype" w:hAnsi="Palatino Linotype"/>
          <w:b/>
          <w:sz w:val="20"/>
          <w:szCs w:val="20"/>
        </w:rPr>
        <w:t xml:space="preserve"> hacer constar</w:t>
      </w:r>
      <w:r w:rsidR="00CB3075" w:rsidRPr="00CB3075">
        <w:rPr>
          <w:rFonts w:ascii="Palatino Linotype" w:hAnsi="Palatino Linotype"/>
          <w:sz w:val="20"/>
          <w:szCs w:val="20"/>
        </w:rPr>
        <w:t xml:space="preserve"> que</w:t>
      </w:r>
      <w:r w:rsidR="00CB3075">
        <w:rPr>
          <w:rFonts w:ascii="Palatino Linotype" w:hAnsi="Palatino Linotype"/>
          <w:sz w:val="20"/>
          <w:szCs w:val="20"/>
        </w:rPr>
        <w:t>:</w:t>
      </w:r>
    </w:p>
    <w:p w:rsidR="00C36BC7" w:rsidRPr="00C36BC7" w:rsidRDefault="00C36BC7" w:rsidP="005529B8">
      <w:pPr>
        <w:spacing w:before="120" w:after="120" w:line="320" w:lineRule="exact"/>
        <w:jc w:val="both"/>
        <w:rPr>
          <w:rFonts w:ascii="Palatino Linotype" w:hAnsi="Palatino Linotype"/>
          <w:sz w:val="20"/>
          <w:szCs w:val="20"/>
        </w:rPr>
      </w:pPr>
      <w:r w:rsidRPr="00C36BC7">
        <w:rPr>
          <w:rFonts w:ascii="Palatino Linotype" w:hAnsi="Palatino Linotype"/>
          <w:sz w:val="20"/>
          <w:szCs w:val="20"/>
        </w:rPr>
        <w:t>Tras detectarse error material en la Resolución de la Rectora de  25 de junio de 2020, por la que se aprueba la relación provisional de aspirantes admitidos y excluidos al Concurso Público de Méritos para la contratación de Profesores Contratados Doctores, convocado por Resolución Rectoral de fecha 26 de junio de 2019 (BOJA de 2 de julio de 2019) de esta Universidad y conforme a lo establecido en el artículo 109 de la ley 39/2015 de 1 de Octubre, del Procedimiento Administrativo Común de</w:t>
      </w:r>
      <w:r>
        <w:rPr>
          <w:rFonts w:ascii="Palatino Linotype" w:hAnsi="Palatino Linotype"/>
          <w:sz w:val="20"/>
          <w:szCs w:val="20"/>
        </w:rPr>
        <w:t xml:space="preserve"> las Administraciones Públicas, se rectifica en los siguientes términos:</w:t>
      </w:r>
    </w:p>
    <w:p w:rsidR="005529B8" w:rsidRDefault="005529B8" w:rsidP="005529B8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Donde dice:</w:t>
      </w:r>
    </w:p>
    <w:p w:rsidR="005529B8" w:rsidRDefault="005529B8" w:rsidP="005529B8">
      <w:pPr>
        <w:spacing w:before="120" w:after="120" w:line="32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Anexo I Departamento: Sociología Área: Sociología plaza: </w:t>
      </w:r>
      <w:proofErr w:type="spellStart"/>
      <w:r>
        <w:rPr>
          <w:rFonts w:ascii="Palatino Linotype" w:hAnsi="Palatino Linotype"/>
          <w:sz w:val="20"/>
          <w:szCs w:val="20"/>
        </w:rPr>
        <w:t>xxxxxx</w:t>
      </w:r>
      <w:proofErr w:type="spellEnd"/>
      <w:r>
        <w:rPr>
          <w:rFonts w:ascii="Palatino Linotype" w:hAnsi="Palatino Linotype"/>
          <w:sz w:val="20"/>
          <w:szCs w:val="20"/>
        </w:rPr>
        <w:t xml:space="preserve"> categoría: profesor ayudante doctor perfil: metodología de investigación en sociología D.N.I. apellidos y nombre admitido/excluido causa 7*******h García </w:t>
      </w:r>
      <w:proofErr w:type="spellStart"/>
      <w:r>
        <w:rPr>
          <w:rFonts w:ascii="Palatino Linotype" w:hAnsi="Palatino Linotype"/>
          <w:sz w:val="20"/>
          <w:szCs w:val="20"/>
        </w:rPr>
        <w:t>García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Maria</w:t>
      </w:r>
      <w:proofErr w:type="spellEnd"/>
      <w:r>
        <w:rPr>
          <w:rFonts w:ascii="Palatino Linotype" w:hAnsi="Palatino Linotype"/>
          <w:sz w:val="20"/>
          <w:szCs w:val="20"/>
        </w:rPr>
        <w:t xml:space="preserve"> admitida no </w:t>
      </w:r>
    </w:p>
    <w:p w:rsidR="005529B8" w:rsidRDefault="005529B8" w:rsidP="005529B8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Debe decir:</w:t>
      </w:r>
    </w:p>
    <w:p w:rsidR="005529B8" w:rsidRDefault="005529B8" w:rsidP="005529B8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Anexo I Departamento: Sociología Área: Sociología plaza: </w:t>
      </w:r>
      <w:proofErr w:type="spellStart"/>
      <w:r>
        <w:rPr>
          <w:rFonts w:ascii="Palatino Linotype" w:hAnsi="Palatino Linotype"/>
          <w:sz w:val="20"/>
          <w:szCs w:val="20"/>
        </w:rPr>
        <w:t>xxxxxx</w:t>
      </w:r>
      <w:proofErr w:type="spellEnd"/>
      <w:r>
        <w:rPr>
          <w:rFonts w:ascii="Palatino Linotype" w:hAnsi="Palatino Linotype"/>
          <w:sz w:val="20"/>
          <w:szCs w:val="20"/>
        </w:rPr>
        <w:t xml:space="preserve"> categoría: profesor ayudante doctor perfil: metodología de investigación en sociología D.N.I. apellidos y nombre admitido/excluido causa 7*******h García </w:t>
      </w:r>
      <w:proofErr w:type="spellStart"/>
      <w:r>
        <w:rPr>
          <w:rFonts w:ascii="Palatino Linotype" w:hAnsi="Palatino Linotype"/>
          <w:sz w:val="20"/>
          <w:szCs w:val="20"/>
        </w:rPr>
        <w:t>García</w:t>
      </w:r>
      <w:proofErr w:type="spellEnd"/>
      <w:r>
        <w:rPr>
          <w:rFonts w:ascii="Palatino Linotype" w:hAnsi="Palatino Linotype"/>
          <w:sz w:val="20"/>
          <w:szCs w:val="20"/>
        </w:rPr>
        <w:t xml:space="preserve">, María excluida 2. </w:t>
      </w:r>
    </w:p>
    <w:p w:rsidR="005529B8" w:rsidRDefault="005529B8" w:rsidP="005529B8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C36BC7" w:rsidRDefault="00C36BC7" w:rsidP="005529B8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C36BC7">
        <w:rPr>
          <w:rFonts w:ascii="Palatino Linotype" w:hAnsi="Palatino Linotype"/>
          <w:sz w:val="20"/>
          <w:szCs w:val="20"/>
        </w:rPr>
        <w:t xml:space="preserve">De conformidad con lo establecido en la base 5.1 de la convocatoria, la interesada podrá presentar reclamación contra esta Resolución ante la Rectora en el plazo de cinco días </w:t>
      </w:r>
      <w:r>
        <w:rPr>
          <w:rFonts w:ascii="Palatino Linotype" w:hAnsi="Palatino Linotype"/>
          <w:sz w:val="20"/>
          <w:szCs w:val="20"/>
        </w:rPr>
        <w:t xml:space="preserve">hábiles desde su publicación en </w:t>
      </w:r>
      <w:r w:rsidRPr="00C36BC7">
        <w:rPr>
          <w:rFonts w:ascii="Palatino Linotype" w:hAnsi="Palatino Linotype"/>
          <w:sz w:val="20"/>
          <w:szCs w:val="20"/>
        </w:rPr>
        <w:t>el Tablón Electrónico Oficial de la Universidad y mediante registro telemático.</w:t>
      </w:r>
    </w:p>
    <w:p w:rsidR="007F6BDE" w:rsidRDefault="007F6BDE" w:rsidP="007F6B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C36BC7" w:rsidRPr="00365106" w:rsidRDefault="00C36BC7" w:rsidP="00C36BC7">
      <w:pPr>
        <w:spacing w:before="120" w:line="320" w:lineRule="exact"/>
        <w:ind w:right="284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C36BC7" w:rsidRDefault="00C36BC7" w:rsidP="00C36BC7">
      <w:pPr>
        <w:spacing w:line="320" w:lineRule="exact"/>
        <w:ind w:right="282"/>
        <w:jc w:val="center"/>
        <w:rPr>
          <w:rFonts w:ascii="Palatino Linotype" w:hAnsi="Palatino Linotype"/>
          <w:sz w:val="20"/>
          <w:szCs w:val="20"/>
        </w:rPr>
      </w:pPr>
    </w:p>
    <w:p w:rsidR="00C36BC7" w:rsidRPr="00C14E6D" w:rsidRDefault="00C36BC7" w:rsidP="00C36BC7">
      <w:pPr>
        <w:spacing w:before="480"/>
        <w:ind w:right="284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Juan García </w:t>
      </w:r>
      <w:proofErr w:type="spellStart"/>
      <w:r>
        <w:rPr>
          <w:rFonts w:ascii="Palatino Linotype" w:hAnsi="Palatino Linotype"/>
          <w:sz w:val="20"/>
          <w:szCs w:val="20"/>
        </w:rPr>
        <w:t>García</w:t>
      </w:r>
      <w:proofErr w:type="spellEnd"/>
    </w:p>
    <w:p w:rsidR="00C36BC7" w:rsidRPr="00696D28" w:rsidRDefault="00C36BC7" w:rsidP="00C36BC7">
      <w:pPr>
        <w:ind w:right="282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Vicerrector de Profesorado (P.D.C. 8/06/2016)</w:t>
      </w:r>
    </w:p>
    <w:p w:rsidR="00C36BC7" w:rsidRPr="00C14E6D" w:rsidRDefault="00C36BC7" w:rsidP="00C36BC7">
      <w:pPr>
        <w:ind w:right="282"/>
        <w:jc w:val="center"/>
        <w:rPr>
          <w:rFonts w:ascii="Palatino Linotype" w:hAnsi="Palatino Linotype"/>
          <w:sz w:val="20"/>
          <w:szCs w:val="20"/>
        </w:rPr>
      </w:pPr>
    </w:p>
    <w:p w:rsidR="00576A2B" w:rsidRPr="007F6BDE" w:rsidRDefault="00C36BC7" w:rsidP="00C36BC7">
      <w:pPr>
        <w:ind w:right="282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19 de Julio de 2020</w:t>
      </w:r>
    </w:p>
    <w:sectPr w:rsidR="00576A2B" w:rsidRPr="007F6BDE" w:rsidSect="00834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11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2" w:rsidRDefault="007C2592" w:rsidP="00803352">
      <w:r>
        <w:separator/>
      </w:r>
    </w:p>
  </w:endnote>
  <w:endnote w:type="continuationSeparator" w:id="0">
    <w:p w:rsidR="007C2592" w:rsidRDefault="007C2592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709A9C9" wp14:editId="58C3582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10702">
      <w:rPr>
        <w:rFonts w:ascii="Palatino Linotype" w:hAnsi="Palatino Linotype"/>
        <w:noProof/>
        <w:sz w:val="16"/>
        <w:szCs w:val="16"/>
        <w:lang w:eastAsia="zh-CN"/>
      </w:rPr>
      <w:tab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Página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PAGE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5529B8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  <w:r w:rsidR="00F10702" w:rsidRPr="00F10702">
      <w:rPr>
        <w:rFonts w:ascii="Palatino Linotype" w:hAnsi="Palatino Linotype"/>
        <w:noProof/>
        <w:sz w:val="14"/>
        <w:szCs w:val="14"/>
        <w:lang w:eastAsia="zh-CN"/>
      </w:rPr>
      <w:t xml:space="preserve"> de 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begin"/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instrText>NUMPAGES  \* Arabic  \* MERGEFORMAT</w:instrTex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separate"/>
    </w:r>
    <w:r w:rsidR="005529B8">
      <w:rPr>
        <w:rFonts w:ascii="Palatino Linotype" w:hAnsi="Palatino Linotype"/>
        <w:b/>
        <w:noProof/>
        <w:sz w:val="14"/>
        <w:szCs w:val="14"/>
        <w:lang w:eastAsia="zh-CN"/>
      </w:rPr>
      <w:t>1</w:t>
    </w:r>
    <w:r w:rsidR="00F10702" w:rsidRPr="00F10702">
      <w:rPr>
        <w:rFonts w:ascii="Palatino Linotype" w:hAnsi="Palatino Linotype"/>
        <w:b/>
        <w:noProof/>
        <w:sz w:val="14"/>
        <w:szCs w:val="14"/>
        <w:lang w:eastAsia="zh-CN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2" w:rsidRDefault="007C2592" w:rsidP="00803352">
      <w:r>
        <w:separator/>
      </w:r>
    </w:p>
  </w:footnote>
  <w:footnote w:type="continuationSeparator" w:id="0">
    <w:p w:rsidR="007C2592" w:rsidRDefault="007C2592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5B47402" wp14:editId="76D33702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02" w:rsidRDefault="00F107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065269B"/>
    <w:multiLevelType w:val="multilevel"/>
    <w:tmpl w:val="8E68C7B8"/>
    <w:numStyleLink w:val="Estilo2"/>
  </w:abstractNum>
  <w:abstractNum w:abstractNumId="8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529B8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061A5"/>
    <w:rsid w:val="00C36BC7"/>
    <w:rsid w:val="00C513A4"/>
    <w:rsid w:val="00C67D0F"/>
    <w:rsid w:val="00C970FF"/>
    <w:rsid w:val="00CB3075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5387-4A4B-4CA1-98F8-1A937188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2021-04-13T06:32:00Z</dcterms:created>
  <dcterms:modified xsi:type="dcterms:W3CDTF">2021-04-29T12:27:00Z</dcterms:modified>
</cp:coreProperties>
</file>